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 xml:space="preserve">Departamenti i </w:t>
      </w:r>
      <w:r w:rsidR="00114510">
        <w:rPr>
          <w:rFonts w:ascii="Calibri" w:hAnsi="Calibri" w:cs="Calibri"/>
          <w:b/>
          <w:sz w:val="16"/>
          <w:szCs w:val="16"/>
          <w:u w:val="single"/>
        </w:rPr>
        <w:t>Patent Shoferit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114510">
        <w:rPr>
          <w:rFonts w:asciiTheme="minorHAnsi" w:hAnsiTheme="minorHAnsi"/>
          <w:b/>
          <w:sz w:val="16"/>
          <w:szCs w:val="16"/>
          <w:u w:val="single"/>
        </w:rPr>
        <w:t>Departman za</w:t>
      </w:r>
      <w:r w:rsidR="00114510" w:rsidRPr="00114510">
        <w:rPr>
          <w:rFonts w:asciiTheme="minorHAnsi" w:hAnsiTheme="minorHAnsi"/>
          <w:b/>
          <w:sz w:val="16"/>
          <w:szCs w:val="16"/>
          <w:u w:val="single"/>
        </w:rPr>
        <w:t xml:space="preserve"> Vozačke dozvole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Zyrtar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Administrativ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75562F" w:rsidRPr="007556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114510" w:rsidRP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Administrativni službenik</w:t>
      </w:r>
      <w:r w:rsid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/ca</w:t>
      </w:r>
    </w:p>
    <w:p w:rsidR="00A8094F" w:rsidRPr="0075562F" w:rsidRDefault="00A8094F" w:rsidP="0075562F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114510">
        <w:rPr>
          <w:rFonts w:ascii="Calibri" w:hAnsi="Calibri" w:cs="Calibri"/>
          <w:b/>
          <w:bCs/>
          <w:sz w:val="16"/>
          <w:szCs w:val="16"/>
        </w:rPr>
        <w:t>profesional 1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14510">
        <w:rPr>
          <w:rFonts w:ascii="Calibri" w:hAnsi="Calibri" w:cs="Calibri"/>
          <w:b/>
          <w:bCs/>
          <w:sz w:val="16"/>
          <w:szCs w:val="16"/>
        </w:rPr>
        <w:t>grada 10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14510">
        <w:rPr>
          <w:rFonts w:ascii="Calibri" w:hAnsi="Calibri" w:cs="Calibri"/>
          <w:b/>
          <w:bCs/>
          <w:sz w:val="16"/>
          <w:szCs w:val="16"/>
        </w:rPr>
        <w:t>7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75562F" w:rsidRPr="0075562F">
        <w:rPr>
          <w:rFonts w:asciiTheme="minorHAnsi" w:hAnsiTheme="minorHAnsi"/>
          <w:b/>
          <w:sz w:val="16"/>
          <w:szCs w:val="16"/>
        </w:rPr>
        <w:t>Nivo uprav</w:t>
      </w:r>
      <w:r w:rsidR="00114510">
        <w:rPr>
          <w:rFonts w:asciiTheme="minorHAnsi" w:hAnsiTheme="minorHAnsi"/>
          <w:b/>
          <w:sz w:val="16"/>
          <w:szCs w:val="16"/>
        </w:rPr>
        <w:t xml:space="preserve">lanja </w:t>
      </w:r>
      <w:r w:rsidR="0075562F">
        <w:rPr>
          <w:rFonts w:asciiTheme="minorHAnsi" w:hAnsiTheme="minorHAnsi"/>
          <w:b/>
          <w:sz w:val="16"/>
          <w:szCs w:val="16"/>
        </w:rPr>
        <w:t xml:space="preserve"> </w:t>
      </w:r>
      <w:r w:rsidR="00114510">
        <w:rPr>
          <w:rFonts w:asciiTheme="minorHAnsi" w:hAnsiTheme="minorHAnsi"/>
          <w:b/>
          <w:sz w:val="16"/>
          <w:szCs w:val="16"/>
        </w:rPr>
        <w:t>1-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114510">
        <w:rPr>
          <w:rFonts w:asciiTheme="minorHAnsi" w:hAnsiTheme="minorHAnsi"/>
          <w:b/>
          <w:sz w:val="16"/>
          <w:szCs w:val="16"/>
        </w:rPr>
        <w:t>10 (BKK 7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6523C4">
        <w:rPr>
          <w:rFonts w:ascii="Calibri" w:hAnsi="Calibri" w:cs="Calibri"/>
          <w:b/>
          <w:sz w:val="16"/>
          <w:szCs w:val="16"/>
        </w:rPr>
        <w:t>00003664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Në bashkëpunim me mbikëqyrësin dhe zyrtarin e lartë harton planet e punës për zbatimin e detyrave të përcaktuara në bazë të objektivave dhe jep rekomandime lidhur me realizimin e këtyre objektivave: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Ndihmon në vlerësimin e proceseve dhe procedurave të brendshme dhe rekomandon ndryshime dhe përmirësime me qëllim të rritjes së efikasitetit dhe cilësisë së punës;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Merr pjesë në hartimin, zhvillimin e procedurave dhe dokumenteve tjera si dhe mbikëqyrjen e zbatimit të tyre  në fushën profesionale specifike brenda afateve kohore të caktuara.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Organizon dhe lehtëson takime, konferenca dhe ngjarje të tjera të veçanta,  koordinon dhe merr pjesë në mbledhjet e komisioneve sipas rastit;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Ofron ndihmë dhe mbështetje në zgjidhjen e problemeve, planifikimin dhe menaxhimin e projekteve, si dhe zhvillimin dhe zbatimin e qëllimeve dhe objektivave të përcaktuara të njësisë organizative;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Kryen hulumtime dhe analiza mbi çështjet, temave të caktuara nga mbikëqyrësi  ose stafi i nivelit të lartë profesionale dhe përgatit shkresa, raporte;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Komunikon brenda institucionit dhe jashtë tij për shkëmbim të informatave në fushat e interesit të përbashkët si dhe ofron përkrahje në fushën specifike profesionale për stafin e nivelit më të lartë profesional sipas kërkesës; </w:t>
      </w:r>
    </w:p>
    <w:p w:rsidR="00D6219B" w:rsidRPr="002A45E6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Kryen edhe detyra tjetër në përputhje me ligjet dhe rregulloret  të cilat mund të kërkohen në mënyrë të arsyeshme kohë pas kohe nga mbikëqyrësi; </w:t>
      </w:r>
    </w:p>
    <w:p w:rsidR="0075562F" w:rsidRDefault="0075562F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114510" w:rsidRPr="002A45E6" w:rsidRDefault="00114510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U saradnji sa nadzornikom i višim službenikom, izrađuje planove rada za sprovođenje dužnosti koje su utvrđene na osnovu ciljeva i daje preporuke u pogledu postizanja ovih ciljeva: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Pomaže u proceni unutrašnjih procesa i procedura i preporučuje izmene i poboljšanja radi povećanja efikasnosti i kvaliteta rada;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Učestvuje u izradi, razvijanju procedura i drugih dokumenata i nadzoru nad njihovom sprovođenju u specifičnoj profesionalnoj oblasti u utvrđenim vremenskim rokovima.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Organizuje i olakšava sastanke, konferencije i druge posebne događaje, koordinira i učestvuje na sastancima komisija po potrebi;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Pruža pomoć i podršku u rešavanju problema, planiranju i upravljanju projektima, kao i razvoju i sprovođenju utvrđenih ciljeva organizacione jedinice;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Sprovodi istraživanja i analize o pitanjima, temama koje utvrđuje nadzornik ili osoblje višeg stručnog nivoa i priprema dopise, izveštaje ,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Komunicira unutar i izvan institucije radi razmene informacija u oblastima od zajedničkog interesa i pruža podršku u specifičnoj stručnoj oblasti za osoblje višeg stručnog nivoa, na zahtev; </w:t>
      </w:r>
    </w:p>
    <w:p w:rsidR="003B7D72" w:rsidRPr="00114510" w:rsidRDefault="00114510" w:rsidP="00114510">
      <w:pPr>
        <w:pStyle w:val="ListParagraph"/>
        <w:numPr>
          <w:ilvl w:val="0"/>
          <w:numId w:val="42"/>
        </w:numPr>
        <w:rPr>
          <w:i/>
          <w:color w:val="000080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Obavlja i druge dužnosti u skladu sa zakonima i uredbama koje nadzornik povremeno može opravdano zahtevati; </w:t>
      </w: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9D2C95" w:rsidRPr="00491487" w:rsidRDefault="009D2C95" w:rsidP="007B00F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Pr="002A45E6" w:rsidRDefault="00114510" w:rsidP="005E7A04">
      <w:pPr>
        <w:pStyle w:val="ListParagraph"/>
        <w:numPr>
          <w:ilvl w:val="0"/>
          <w:numId w:val="39"/>
        </w:numPr>
        <w:rPr>
          <w:rFonts w:ascii="Calibri" w:hAnsi="Calibri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pt-BR"/>
        </w:rPr>
        <w:t>Diplomë U</w:t>
      </w:r>
      <w:r w:rsidRPr="00114510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niversitare </w:t>
      </w:r>
      <w:r>
        <w:rPr>
          <w:rFonts w:ascii="Times New Roman" w:hAnsi="Times New Roman"/>
          <w:b/>
          <w:sz w:val="16"/>
          <w:szCs w:val="16"/>
          <w:u w:val="single"/>
          <w:lang w:val="pt-BR"/>
        </w:rPr>
        <w:t>ose Shkollë e L</w:t>
      </w:r>
      <w:r w:rsidRPr="00114510">
        <w:rPr>
          <w:rFonts w:ascii="Times New Roman" w:hAnsi="Times New Roman"/>
          <w:b/>
          <w:sz w:val="16"/>
          <w:szCs w:val="16"/>
          <w:u w:val="single"/>
          <w:lang w:val="pt-BR"/>
        </w:rPr>
        <w:t>arte</w:t>
      </w:r>
      <w:r w:rsidR="005E7A04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: Ekonomik, Juridik </w:t>
      </w:r>
      <w:r w:rsidR="007B00FA" w:rsidRPr="002A45E6">
        <w:rPr>
          <w:rFonts w:ascii="Calibri" w:hAnsi="Calibri"/>
          <w:b/>
          <w:sz w:val="16"/>
          <w:szCs w:val="16"/>
          <w:u w:val="single"/>
        </w:rPr>
        <w:t xml:space="preserve">/ </w:t>
      </w:r>
      <w:r>
        <w:rPr>
          <w:rFonts w:ascii="Calibri" w:hAnsi="Calibri"/>
          <w:b/>
          <w:sz w:val="16"/>
          <w:szCs w:val="16"/>
          <w:u w:val="single"/>
        </w:rPr>
        <w:t>Univerzitetska D</w:t>
      </w:r>
      <w:r w:rsidRPr="00114510">
        <w:rPr>
          <w:rFonts w:ascii="Calibri" w:hAnsi="Calibri"/>
          <w:b/>
          <w:sz w:val="16"/>
          <w:szCs w:val="16"/>
          <w:u w:val="single"/>
        </w:rPr>
        <w:t xml:space="preserve">iploma </w:t>
      </w:r>
      <w:r>
        <w:rPr>
          <w:rFonts w:ascii="Calibri" w:hAnsi="Calibri"/>
          <w:b/>
          <w:sz w:val="16"/>
          <w:szCs w:val="16"/>
          <w:u w:val="single"/>
        </w:rPr>
        <w:t xml:space="preserve"> ili </w:t>
      </w:r>
      <w:r w:rsidR="00D45E38">
        <w:rPr>
          <w:rFonts w:ascii="Calibri" w:hAnsi="Calibri"/>
          <w:b/>
          <w:sz w:val="16"/>
          <w:szCs w:val="16"/>
          <w:u w:val="single"/>
        </w:rPr>
        <w:t>Vi</w:t>
      </w:r>
      <w:r w:rsidR="00D45E38">
        <w:rPr>
          <w:rFonts w:ascii="Euphemia" w:hAnsi="Euphemia"/>
          <w:b/>
          <w:sz w:val="16"/>
          <w:szCs w:val="16"/>
          <w:u w:val="single"/>
        </w:rPr>
        <w:t>š</w:t>
      </w:r>
      <w:r w:rsidR="00D45E38">
        <w:rPr>
          <w:rFonts w:ascii="Calibri" w:hAnsi="Calibri"/>
          <w:b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  <w:u w:val="single"/>
        </w:rPr>
        <w:t xml:space="preserve"> </w:t>
      </w:r>
      <w:r>
        <w:rPr>
          <w:rFonts w:ascii="Euphemia" w:hAnsi="Euphemia"/>
          <w:b/>
          <w:sz w:val="16"/>
          <w:szCs w:val="16"/>
          <w:u w:val="single"/>
        </w:rPr>
        <w:t>Š</w:t>
      </w:r>
      <w:r w:rsidRPr="00114510">
        <w:rPr>
          <w:rFonts w:ascii="Calibri" w:hAnsi="Calibri"/>
          <w:b/>
          <w:sz w:val="16"/>
          <w:szCs w:val="16"/>
          <w:u w:val="single"/>
        </w:rPr>
        <w:t>kola</w:t>
      </w:r>
      <w:r w:rsidR="005E7A04">
        <w:rPr>
          <w:rFonts w:ascii="Calibri" w:hAnsi="Calibri"/>
          <w:b/>
          <w:sz w:val="16"/>
          <w:szCs w:val="16"/>
          <w:u w:val="single"/>
        </w:rPr>
        <w:t xml:space="preserve">: </w:t>
      </w:r>
      <w:r w:rsidR="005E7A04" w:rsidRPr="005E7A04">
        <w:rPr>
          <w:rFonts w:ascii="Calibri" w:hAnsi="Calibri"/>
          <w:b/>
          <w:sz w:val="16"/>
          <w:szCs w:val="16"/>
          <w:u w:val="single"/>
        </w:rPr>
        <w:t>Ekonomski, Pravni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4B7A5C" w:rsidRPr="002A45E6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Diplomë universitare pa përvojë ose shkollë e larte dhe së paku dy (2) vite përvojë pune</w:t>
      </w:r>
      <w:r w:rsidR="004B7A5C" w:rsidRPr="002A45E6">
        <w:rPr>
          <w:sz w:val="16"/>
          <w:szCs w:val="16"/>
        </w:rPr>
        <w:t xml:space="preserve">;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Njohuri  profesionale në fushën e administratës; 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Shkathtësi për të organizuar punën e vet dhe për të koordinuar stafin e nivelit administrativ;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Shkathtësi  hulumtuese, analitike, vlerësuese të informacionit; 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Aftësi për përmbushje të detyrave dhe punëve nën presion;</w:t>
      </w:r>
    </w:p>
    <w:p w:rsidR="00B701F8" w:rsidRPr="002A45E6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Shkathtësi kompjuterike të aplikacioneve të programeve (Word, Excel, Power Point, Internetit);</w:t>
      </w:r>
      <w:r w:rsidR="002A45E6" w:rsidRPr="002A45E6">
        <w:rPr>
          <w:sz w:val="16"/>
          <w:szCs w:val="16"/>
        </w:rPr>
        <w:t>.</w:t>
      </w:r>
      <w:r w:rsidR="004B7A5C" w:rsidRPr="002A45E6">
        <w:rPr>
          <w:sz w:val="16"/>
          <w:szCs w:val="16"/>
        </w:rPr>
        <w:tab/>
        <w:t xml:space="preserve">    </w:t>
      </w:r>
      <w:r w:rsidR="004B7A5C" w:rsidRPr="002A45E6">
        <w:rPr>
          <w:sz w:val="16"/>
          <w:szCs w:val="16"/>
        </w:rPr>
        <w:tab/>
      </w:r>
    </w:p>
    <w:p w:rsidR="004B7A5C" w:rsidRDefault="004B7A5C" w:rsidP="002A45E6">
      <w:pPr>
        <w:pStyle w:val="ListParagraph"/>
        <w:rPr>
          <w:sz w:val="16"/>
          <w:szCs w:val="16"/>
        </w:rPr>
      </w:pPr>
    </w:p>
    <w:p w:rsidR="004B7A5C" w:rsidRDefault="004B7A5C" w:rsidP="004B7A5C">
      <w:pPr>
        <w:pStyle w:val="ListParagraph"/>
        <w:rPr>
          <w:sz w:val="16"/>
          <w:szCs w:val="16"/>
        </w:rPr>
      </w:pP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Univerzitetska diploma bez iskustva ili </w:t>
      </w:r>
      <w:r w:rsidR="00D45E38">
        <w:rPr>
          <w:sz w:val="16"/>
          <w:szCs w:val="16"/>
        </w:rPr>
        <w:t>vi</w:t>
      </w:r>
      <w:r w:rsidR="00D45E38">
        <w:rPr>
          <w:rFonts w:ascii="Euphemia" w:hAnsi="Euphemia"/>
          <w:sz w:val="16"/>
          <w:szCs w:val="16"/>
        </w:rPr>
        <w:t>š</w:t>
      </w:r>
      <w:r w:rsidR="00D45E38">
        <w:rPr>
          <w:sz w:val="16"/>
          <w:szCs w:val="16"/>
        </w:rPr>
        <w:t>a</w:t>
      </w:r>
      <w:r w:rsidRPr="005E7A04">
        <w:rPr>
          <w:sz w:val="16"/>
          <w:szCs w:val="16"/>
        </w:rPr>
        <w:t xml:space="preserve"> škola i najmanje dve  (2) godine radnog iskustva.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Stručno znanje iz oblasti uprave; 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Veštine za organizovanje svog rada i koordinaciju osoblja administrativnog nivoa;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Istraživačke, analitičke, ocenjivačke veštine informacija.; 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>Sposobnost obavljanja dužnosti i poslova pod pritiskom;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>Računarske veštine u aplikacijama programa  (Word, Excel, Power Point, Internet);</w:t>
      </w:r>
    </w:p>
    <w:p w:rsidR="009F3258" w:rsidRPr="00491487" w:rsidRDefault="00FE4BF1" w:rsidP="005E7A04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6523C4">
        <w:rPr>
          <w:rFonts w:ascii="Calibri" w:hAnsi="Calibri" w:cs="Calibri"/>
          <w:b/>
          <w:sz w:val="16"/>
          <w:szCs w:val="16"/>
          <w:u w:val="single"/>
        </w:rPr>
        <w:t>Nga  06.09.2018  deri 20.09.2018  në ora 16:00/ od 06.09.2018  do 20.09.2018  u 16:00 časova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6B7586" w:rsidRPr="00491487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Infrastrukturës,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Infrastrukture,</w:t>
      </w:r>
    </w:p>
    <w:p w:rsidR="00B701F8" w:rsidRDefault="00A23084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7D" w:rsidRDefault="00CF3A7D">
      <w:r>
        <w:separator/>
      </w:r>
    </w:p>
  </w:endnote>
  <w:endnote w:type="continuationSeparator" w:id="0">
    <w:p w:rsidR="00CF3A7D" w:rsidRDefault="00CF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7D" w:rsidRDefault="00CF3A7D">
      <w:r>
        <w:separator/>
      </w:r>
    </w:p>
  </w:footnote>
  <w:footnote w:type="continuationSeparator" w:id="0">
    <w:p w:rsidR="00CF3A7D" w:rsidRDefault="00CF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0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0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8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9"/>
  </w:num>
  <w:num w:numId="9">
    <w:abstractNumId w:val="17"/>
  </w:num>
  <w:num w:numId="10">
    <w:abstractNumId w:val="10"/>
  </w:num>
  <w:num w:numId="11">
    <w:abstractNumId w:val="8"/>
  </w:num>
  <w:num w:numId="12">
    <w:abstractNumId w:val="20"/>
  </w:num>
  <w:num w:numId="13">
    <w:abstractNumId w:val="11"/>
  </w:num>
  <w:num w:numId="14">
    <w:abstractNumId w:val="28"/>
  </w:num>
  <w:num w:numId="15">
    <w:abstractNumId w:val="39"/>
  </w:num>
  <w:num w:numId="16">
    <w:abstractNumId w:val="37"/>
  </w:num>
  <w:num w:numId="17">
    <w:abstractNumId w:val="14"/>
  </w:num>
  <w:num w:numId="18">
    <w:abstractNumId w:val="5"/>
  </w:num>
  <w:num w:numId="19">
    <w:abstractNumId w:val="25"/>
  </w:num>
  <w:num w:numId="20">
    <w:abstractNumId w:val="24"/>
  </w:num>
  <w:num w:numId="21">
    <w:abstractNumId w:val="35"/>
  </w:num>
  <w:num w:numId="22">
    <w:abstractNumId w:val="6"/>
  </w:num>
  <w:num w:numId="23">
    <w:abstractNumId w:val="30"/>
  </w:num>
  <w:num w:numId="24">
    <w:abstractNumId w:val="33"/>
  </w:num>
  <w:num w:numId="25">
    <w:abstractNumId w:val="13"/>
  </w:num>
  <w:num w:numId="26">
    <w:abstractNumId w:val="19"/>
  </w:num>
  <w:num w:numId="27">
    <w:abstractNumId w:val="34"/>
  </w:num>
  <w:num w:numId="28">
    <w:abstractNumId w:val="27"/>
  </w:num>
  <w:num w:numId="29">
    <w:abstractNumId w:val="1"/>
  </w:num>
  <w:num w:numId="30">
    <w:abstractNumId w:val="26"/>
  </w:num>
  <w:num w:numId="31">
    <w:abstractNumId w:val="23"/>
  </w:num>
  <w:num w:numId="32">
    <w:abstractNumId w:val="32"/>
  </w:num>
  <w:num w:numId="33">
    <w:abstractNumId w:val="36"/>
  </w:num>
  <w:num w:numId="34">
    <w:abstractNumId w:val="16"/>
  </w:num>
  <w:num w:numId="35">
    <w:abstractNumId w:val="21"/>
  </w:num>
  <w:num w:numId="36">
    <w:abstractNumId w:val="15"/>
  </w:num>
  <w:num w:numId="37">
    <w:abstractNumId w:val="9"/>
  </w:num>
  <w:num w:numId="38">
    <w:abstractNumId w:val="40"/>
  </w:num>
  <w:num w:numId="39">
    <w:abstractNumId w:val="2"/>
  </w:num>
  <w:num w:numId="40">
    <w:abstractNumId w:val="12"/>
  </w:num>
  <w:num w:numId="41">
    <w:abstractNumId w:val="4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21DD2"/>
    <w:rsid w:val="00422A61"/>
    <w:rsid w:val="00433622"/>
    <w:rsid w:val="00435ADB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E7A04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533A"/>
    <w:rsid w:val="0067542A"/>
    <w:rsid w:val="0067610C"/>
    <w:rsid w:val="0068022E"/>
    <w:rsid w:val="006846A8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84893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4958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D44E2"/>
    <w:rsid w:val="00AF0B1D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CF3A7D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263FC"/>
    <w:rsid w:val="00E35930"/>
    <w:rsid w:val="00E37C76"/>
    <w:rsid w:val="00E47104"/>
    <w:rsid w:val="00E50DA7"/>
    <w:rsid w:val="00E546D4"/>
    <w:rsid w:val="00E6292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8</TotalTime>
  <Pages>1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6</cp:revision>
  <cp:lastPrinted>2013-05-24T08:40:00Z</cp:lastPrinted>
  <dcterms:created xsi:type="dcterms:W3CDTF">2018-09-04T08:51:00Z</dcterms:created>
  <dcterms:modified xsi:type="dcterms:W3CDTF">2018-09-10T08:26:00Z</dcterms:modified>
</cp:coreProperties>
</file>